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E8" w:rsidRDefault="005F3CE8" w:rsidP="005F3CE8">
      <w:pPr>
        <w:pStyle w:val="NormaleWeb"/>
        <w:rPr>
          <w:rFonts w:ascii="Calibri" w:hAnsi="Calibr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-518795</wp:posOffset>
            </wp:positionV>
            <wp:extent cx="2352675" cy="141922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CE8" w:rsidRDefault="005F3CE8" w:rsidP="005F3CE8">
      <w:pPr>
        <w:pStyle w:val="NormaleWeb"/>
        <w:rPr>
          <w:rFonts w:ascii="Calibri" w:hAnsi="Calibri"/>
          <w:color w:val="000000"/>
          <w:sz w:val="20"/>
          <w:szCs w:val="20"/>
        </w:rPr>
      </w:pPr>
    </w:p>
    <w:p w:rsidR="005F3CE8" w:rsidRDefault="005F3CE8" w:rsidP="005F3CE8">
      <w:pPr>
        <w:pStyle w:val="NormaleWeb"/>
        <w:rPr>
          <w:rFonts w:ascii="Calibri" w:hAnsi="Calibri"/>
          <w:color w:val="000000"/>
          <w:sz w:val="20"/>
          <w:szCs w:val="20"/>
        </w:rPr>
      </w:pPr>
    </w:p>
    <w:p w:rsidR="005F3CE8" w:rsidRDefault="005F3CE8" w:rsidP="005F3CE8">
      <w:pPr>
        <w:pStyle w:val="NormaleWeb"/>
        <w:rPr>
          <w:rFonts w:ascii="Calibri" w:hAnsi="Calibri"/>
          <w:color w:val="000000"/>
          <w:sz w:val="20"/>
          <w:szCs w:val="20"/>
        </w:rPr>
      </w:pPr>
    </w:p>
    <w:p w:rsidR="005F3CE8" w:rsidRDefault="005F3CE8" w:rsidP="005F3CE8">
      <w:pPr>
        <w:pStyle w:val="NormaleWeb"/>
        <w:rPr>
          <w:rFonts w:ascii="Calibri" w:hAnsi="Calibri"/>
          <w:color w:val="000000"/>
          <w:sz w:val="20"/>
          <w:szCs w:val="20"/>
        </w:rPr>
      </w:pPr>
    </w:p>
    <w:p w:rsidR="005F3CE8" w:rsidRDefault="005F3CE8" w:rsidP="005F3CE8">
      <w:pPr>
        <w:pStyle w:val="NormaleWeb"/>
        <w:rPr>
          <w:rFonts w:ascii="Calibri" w:hAnsi="Calibri"/>
          <w:color w:val="000000"/>
          <w:sz w:val="20"/>
          <w:szCs w:val="20"/>
        </w:rPr>
      </w:pPr>
    </w:p>
    <w:p w:rsidR="005F3CE8" w:rsidRDefault="005F3CE8" w:rsidP="005F3CE8">
      <w:pPr>
        <w:pStyle w:val="NormaleWeb"/>
        <w:rPr>
          <w:rFonts w:ascii="Calibri" w:hAnsi="Calibri"/>
          <w:color w:val="000000"/>
          <w:sz w:val="20"/>
          <w:szCs w:val="20"/>
        </w:rPr>
      </w:pPr>
    </w:p>
    <w:p w:rsidR="005F3CE8" w:rsidRDefault="005F3CE8" w:rsidP="005F3CE8">
      <w:pPr>
        <w:pStyle w:val="NormaleWeb"/>
        <w:rPr>
          <w:rFonts w:ascii="Calibri" w:hAnsi="Calibri"/>
          <w:color w:val="000000"/>
          <w:sz w:val="20"/>
          <w:szCs w:val="20"/>
        </w:rPr>
      </w:pPr>
    </w:p>
    <w:p w:rsidR="005F3CE8" w:rsidRPr="005F3CE8" w:rsidRDefault="005F3CE8" w:rsidP="005F3CE8">
      <w:pPr>
        <w:pStyle w:val="NormaleWeb"/>
        <w:jc w:val="both"/>
        <w:rPr>
          <w:rFonts w:ascii="Calibri" w:hAnsi="Calibri"/>
          <w:color w:val="000000"/>
        </w:rPr>
      </w:pPr>
      <w:r w:rsidRPr="005F3CE8">
        <w:rPr>
          <w:rFonts w:ascii="Calibri" w:hAnsi="Calibri"/>
          <w:color w:val="000000"/>
        </w:rPr>
        <w:t xml:space="preserve">CONFIDIMPRESA </w:t>
      </w:r>
      <w:r w:rsidRPr="005F3CE8">
        <w:rPr>
          <w:rFonts w:ascii="Calibri" w:hAnsi="Calibri"/>
          <w:color w:val="000000"/>
        </w:rPr>
        <w:t xml:space="preserve">ha attivato l’intervento di </w:t>
      </w:r>
      <w:r w:rsidRPr="005F3CE8">
        <w:rPr>
          <w:rFonts w:ascii="Calibri" w:hAnsi="Calibri"/>
          <w:b/>
          <w:bCs/>
          <w:color w:val="000000"/>
          <w:u w:val="single"/>
        </w:rPr>
        <w:t>garanzia fino al 100%</w:t>
      </w:r>
      <w:r w:rsidRPr="005F3CE8">
        <w:rPr>
          <w:rFonts w:ascii="Calibri" w:hAnsi="Calibri"/>
          <w:b/>
          <w:bCs/>
          <w:color w:val="000000"/>
        </w:rPr>
        <w:t xml:space="preserve"> </w:t>
      </w:r>
      <w:r w:rsidRPr="005F3CE8">
        <w:rPr>
          <w:rFonts w:ascii="Calibri" w:hAnsi="Calibri"/>
          <w:color w:val="000000"/>
        </w:rPr>
        <w:t>del finanziamento bancario, nelle diverse formulazioni, come esemplificate nella tabella</w:t>
      </w:r>
      <w:r w:rsidRPr="005F3CE8">
        <w:rPr>
          <w:rFonts w:ascii="Calibri" w:hAnsi="Calibri"/>
          <w:color w:val="000000"/>
        </w:rPr>
        <w:t xml:space="preserve"> sotto riportata.</w:t>
      </w:r>
    </w:p>
    <w:p w:rsidR="005F3CE8" w:rsidRPr="005F3CE8" w:rsidRDefault="005F3CE8" w:rsidP="005F3CE8">
      <w:pPr>
        <w:pStyle w:val="NormaleWeb"/>
        <w:jc w:val="both"/>
        <w:rPr>
          <w:rFonts w:ascii="Calibri" w:hAnsi="Calibri"/>
          <w:color w:val="000000"/>
        </w:rPr>
      </w:pPr>
    </w:p>
    <w:p w:rsidR="005F3CE8" w:rsidRDefault="005F3CE8" w:rsidP="005F3CE8">
      <w:pPr>
        <w:pStyle w:val="NormaleWeb"/>
        <w:jc w:val="both"/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704D9B22" wp14:editId="77DAD427">
            <wp:extent cx="6120130" cy="263271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CE8" w:rsidRDefault="005F3CE8" w:rsidP="005F3CE8">
      <w:pPr>
        <w:pStyle w:val="NormaleWeb"/>
        <w:jc w:val="both"/>
        <w:rPr>
          <w:rFonts w:ascii="Calibri" w:hAnsi="Calibri"/>
          <w:color w:val="000000"/>
        </w:rPr>
      </w:pPr>
    </w:p>
    <w:p w:rsidR="00842DBA" w:rsidRPr="00842DBA" w:rsidRDefault="00842DBA" w:rsidP="00842DBA">
      <w:pPr>
        <w:pStyle w:val="NormaleWeb"/>
        <w:jc w:val="both"/>
        <w:rPr>
          <w:rFonts w:ascii="Calibri" w:hAnsi="Calibri"/>
          <w:color w:val="000000"/>
        </w:rPr>
      </w:pPr>
      <w:r w:rsidRPr="00842DBA">
        <w:rPr>
          <w:rFonts w:ascii="Calibri" w:hAnsi="Calibri"/>
          <w:color w:val="000000"/>
        </w:rPr>
        <w:t xml:space="preserve">Le fattispecie </w:t>
      </w:r>
      <w:r>
        <w:rPr>
          <w:rFonts w:ascii="Calibri" w:hAnsi="Calibri"/>
          <w:color w:val="000000"/>
        </w:rPr>
        <w:t xml:space="preserve">riportate in tabella </w:t>
      </w:r>
      <w:r w:rsidRPr="00842DBA">
        <w:rPr>
          <w:rFonts w:ascii="Calibri" w:hAnsi="Calibri"/>
          <w:color w:val="000000"/>
        </w:rPr>
        <w:t xml:space="preserve">rientrano nel quadro di riferimento del </w:t>
      </w:r>
      <w:proofErr w:type="spellStart"/>
      <w:r w:rsidRPr="00842DBA">
        <w:rPr>
          <w:rFonts w:ascii="Calibri" w:hAnsi="Calibri"/>
          <w:color w:val="000000"/>
        </w:rPr>
        <w:t>Temporary</w:t>
      </w:r>
      <w:proofErr w:type="spellEnd"/>
      <w:r w:rsidRPr="00842DBA">
        <w:rPr>
          <w:rFonts w:ascii="Calibri" w:hAnsi="Calibri"/>
          <w:color w:val="000000"/>
        </w:rPr>
        <w:t xml:space="preserve"> Framework della Commissione Europea e del Decreto “Liquidità”.</w:t>
      </w:r>
    </w:p>
    <w:p w:rsidR="00842DBA" w:rsidRDefault="00842DBA" w:rsidP="00842DBA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5F3CE8" w:rsidRPr="005F3CE8" w:rsidRDefault="005F3CE8" w:rsidP="005F3CE8">
      <w:pPr>
        <w:pStyle w:val="NormaleWeb"/>
        <w:jc w:val="both"/>
        <w:rPr>
          <w:rFonts w:ascii="Calibri" w:hAnsi="Calibri"/>
          <w:color w:val="000000"/>
        </w:rPr>
      </w:pPr>
      <w:r w:rsidRPr="005F3CE8">
        <w:rPr>
          <w:rFonts w:ascii="Calibri" w:hAnsi="Calibri"/>
          <w:color w:val="000000"/>
        </w:rPr>
        <w:t>Il limite di garanzia del Confidi sarà di norma euro 300.000</w:t>
      </w:r>
      <w:r w:rsidRPr="005F3CE8">
        <w:rPr>
          <w:rFonts w:ascii="Calibri" w:hAnsi="Calibri"/>
          <w:color w:val="000000"/>
        </w:rPr>
        <w:t>.</w:t>
      </w:r>
    </w:p>
    <w:p w:rsidR="005F3CE8" w:rsidRPr="005F3CE8" w:rsidRDefault="005F3CE8" w:rsidP="005F3CE8">
      <w:pPr>
        <w:pStyle w:val="NormaleWeb"/>
        <w:jc w:val="both"/>
        <w:rPr>
          <w:rFonts w:ascii="Calibri" w:hAnsi="Calibri"/>
          <w:color w:val="000000"/>
        </w:rPr>
      </w:pPr>
    </w:p>
    <w:p w:rsidR="005F3CE8" w:rsidRPr="005F3CE8" w:rsidRDefault="005F3CE8" w:rsidP="005F3CE8">
      <w:pPr>
        <w:pStyle w:val="NormaleWeb"/>
        <w:jc w:val="both"/>
        <w:rPr>
          <w:rFonts w:ascii="Calibri" w:hAnsi="Calibri"/>
          <w:color w:val="000000"/>
        </w:rPr>
      </w:pPr>
      <w:r w:rsidRPr="005F3CE8">
        <w:rPr>
          <w:rFonts w:ascii="Calibri" w:hAnsi="Calibri"/>
          <w:color w:val="000000"/>
        </w:rPr>
        <w:t>I</w:t>
      </w:r>
      <w:r w:rsidRPr="005F3CE8">
        <w:rPr>
          <w:rFonts w:ascii="Calibri" w:hAnsi="Calibri"/>
          <w:color w:val="000000"/>
        </w:rPr>
        <w:t>mporti superiori saranno valutati direttamente dal Consiglio di Amministrazione.</w:t>
      </w:r>
    </w:p>
    <w:p w:rsidR="005F3CE8" w:rsidRPr="005F3CE8" w:rsidRDefault="005F3CE8" w:rsidP="005F3CE8">
      <w:pPr>
        <w:jc w:val="both"/>
      </w:pPr>
    </w:p>
    <w:p w:rsidR="00842DBA" w:rsidRPr="00842DBA" w:rsidRDefault="00842DBA" w:rsidP="00842DBA">
      <w:pPr>
        <w:pStyle w:val="NormaleWeb"/>
        <w:jc w:val="both"/>
        <w:rPr>
          <w:rFonts w:ascii="Calibri" w:hAnsi="Calibri"/>
          <w:color w:val="000000"/>
        </w:rPr>
      </w:pPr>
      <w:r w:rsidRPr="00842DBA">
        <w:rPr>
          <w:rFonts w:ascii="Calibri" w:hAnsi="Calibri"/>
          <w:color w:val="000000"/>
        </w:rPr>
        <w:t>In merito alla procedura di accesso alla riassicurazione e controgaranzia del Fondo, specifichiamo che le tempistiche di lavorazione, in presenza di documentazione Fondo completa, sono le seguenti:</w:t>
      </w:r>
    </w:p>
    <w:p w:rsidR="00842DBA" w:rsidRPr="00842DBA" w:rsidRDefault="00842DBA" w:rsidP="00842DBA">
      <w:pPr>
        <w:pStyle w:val="NormaleWeb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842DBA">
        <w:rPr>
          <w:rFonts w:ascii="Calibri" w:hAnsi="Calibri"/>
          <w:color w:val="000000"/>
        </w:rPr>
        <w:t xml:space="preserve">Tempo Confidi di congelamento pratica al Fondo: </w:t>
      </w:r>
      <w:proofErr w:type="spellStart"/>
      <w:r w:rsidRPr="00842DBA">
        <w:rPr>
          <w:rFonts w:ascii="Calibri" w:hAnsi="Calibri"/>
          <w:color w:val="000000"/>
        </w:rPr>
        <w:t>max</w:t>
      </w:r>
      <w:proofErr w:type="spellEnd"/>
      <w:r w:rsidRPr="00842DBA">
        <w:rPr>
          <w:rFonts w:ascii="Calibri" w:hAnsi="Calibri"/>
          <w:color w:val="000000"/>
        </w:rPr>
        <w:t xml:space="preserve"> 2 gg lavorativi</w:t>
      </w:r>
    </w:p>
    <w:p w:rsidR="00842DBA" w:rsidRPr="00842DBA" w:rsidRDefault="00842DBA" w:rsidP="00842DBA">
      <w:pPr>
        <w:pStyle w:val="NormaleWeb"/>
        <w:numPr>
          <w:ilvl w:val="0"/>
          <w:numId w:val="1"/>
        </w:numPr>
        <w:spacing w:after="160"/>
        <w:jc w:val="both"/>
        <w:rPr>
          <w:rFonts w:ascii="Calibri" w:hAnsi="Calibri"/>
          <w:color w:val="000000"/>
        </w:rPr>
      </w:pPr>
      <w:r w:rsidRPr="00842DBA">
        <w:rPr>
          <w:rFonts w:ascii="Calibri" w:hAnsi="Calibri"/>
          <w:color w:val="000000"/>
        </w:rPr>
        <w:t xml:space="preserve">Tempo Fondo di Garanzia per la delibera: </w:t>
      </w:r>
      <w:proofErr w:type="spellStart"/>
      <w:r w:rsidRPr="00842DBA">
        <w:rPr>
          <w:rFonts w:ascii="Calibri" w:hAnsi="Calibri"/>
          <w:color w:val="000000"/>
        </w:rPr>
        <w:t>max</w:t>
      </w:r>
      <w:proofErr w:type="spellEnd"/>
      <w:r w:rsidRPr="00842DBA">
        <w:rPr>
          <w:rFonts w:ascii="Calibri" w:hAnsi="Calibri"/>
          <w:color w:val="000000"/>
        </w:rPr>
        <w:t xml:space="preserve"> 3 gg lavorativi (il Comitato di Gestione si riunisce 2 volte a settimana).</w:t>
      </w:r>
    </w:p>
    <w:p w:rsidR="00842DBA" w:rsidRPr="00842DBA" w:rsidRDefault="00842DBA" w:rsidP="00842DBA">
      <w:pPr>
        <w:pStyle w:val="NormaleWeb"/>
        <w:jc w:val="both"/>
        <w:rPr>
          <w:rFonts w:ascii="Calibri" w:hAnsi="Calibri"/>
          <w:color w:val="000000"/>
        </w:rPr>
      </w:pPr>
      <w:bookmarkStart w:id="0" w:name="_GoBack"/>
      <w:bookmarkEnd w:id="0"/>
      <w:r w:rsidRPr="00842DBA">
        <w:rPr>
          <w:rFonts w:ascii="Calibri" w:hAnsi="Calibri"/>
          <w:color w:val="000000"/>
        </w:rPr>
        <w:t>Per eventuali chiarimenti:</w:t>
      </w:r>
    </w:p>
    <w:p w:rsidR="00842DBA" w:rsidRPr="00842DBA" w:rsidRDefault="00842DBA" w:rsidP="00842DBA">
      <w:pPr>
        <w:pStyle w:val="NormaleWeb"/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842DBA">
        <w:rPr>
          <w:rFonts w:ascii="Calibri" w:hAnsi="Calibri"/>
          <w:color w:val="000000"/>
        </w:rPr>
        <w:t xml:space="preserve">Sugli Aiuti di stato: </w:t>
      </w:r>
      <w:proofErr w:type="spellStart"/>
      <w:r w:rsidRPr="00842DBA">
        <w:rPr>
          <w:rFonts w:ascii="Calibri" w:hAnsi="Calibri"/>
          <w:color w:val="000000"/>
        </w:rPr>
        <w:t>Cargnelutti</w:t>
      </w:r>
      <w:proofErr w:type="spellEnd"/>
    </w:p>
    <w:p w:rsidR="00842DBA" w:rsidRPr="00842DBA" w:rsidRDefault="00842DBA" w:rsidP="00842DBA">
      <w:pPr>
        <w:pStyle w:val="NormaleWeb"/>
        <w:numPr>
          <w:ilvl w:val="0"/>
          <w:numId w:val="2"/>
        </w:numPr>
        <w:spacing w:after="160"/>
        <w:jc w:val="both"/>
        <w:rPr>
          <w:rFonts w:ascii="Calibri" w:hAnsi="Calibri"/>
          <w:color w:val="000000"/>
        </w:rPr>
      </w:pPr>
      <w:r w:rsidRPr="00842DBA">
        <w:rPr>
          <w:rFonts w:ascii="Calibri" w:hAnsi="Calibri"/>
          <w:color w:val="000000"/>
        </w:rPr>
        <w:t xml:space="preserve">Sull’operatività i direttori di Area: </w:t>
      </w:r>
      <w:proofErr w:type="spellStart"/>
      <w:r w:rsidRPr="00842DBA">
        <w:rPr>
          <w:rFonts w:ascii="Calibri" w:hAnsi="Calibri"/>
          <w:color w:val="000000"/>
        </w:rPr>
        <w:t>Paron</w:t>
      </w:r>
      <w:proofErr w:type="spellEnd"/>
      <w:r w:rsidRPr="00842DBA">
        <w:rPr>
          <w:rFonts w:ascii="Calibri" w:hAnsi="Calibri"/>
          <w:color w:val="000000"/>
        </w:rPr>
        <w:t xml:space="preserve"> per Udine, Camber per Trieste, </w:t>
      </w:r>
      <w:proofErr w:type="spellStart"/>
      <w:r w:rsidRPr="00842DBA">
        <w:rPr>
          <w:rFonts w:ascii="Calibri" w:hAnsi="Calibri"/>
          <w:color w:val="000000"/>
        </w:rPr>
        <w:t>Pajer</w:t>
      </w:r>
      <w:proofErr w:type="spellEnd"/>
      <w:r w:rsidRPr="00842DBA">
        <w:rPr>
          <w:rFonts w:ascii="Calibri" w:hAnsi="Calibri"/>
          <w:color w:val="000000"/>
        </w:rPr>
        <w:t xml:space="preserve"> per Pordenone.</w:t>
      </w:r>
    </w:p>
    <w:p w:rsidR="005F3CE8" w:rsidRDefault="005F3CE8"/>
    <w:sectPr w:rsidR="005F3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9EE"/>
    <w:multiLevelType w:val="multilevel"/>
    <w:tmpl w:val="C8D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1F19FE"/>
    <w:multiLevelType w:val="multilevel"/>
    <w:tmpl w:val="AF06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E3"/>
    <w:rsid w:val="000912C7"/>
    <w:rsid w:val="002108B9"/>
    <w:rsid w:val="002E53E3"/>
    <w:rsid w:val="005F3CE8"/>
    <w:rsid w:val="007A12E7"/>
    <w:rsid w:val="00842DBA"/>
    <w:rsid w:val="00E3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F5C4"/>
  <w15:chartTrackingRefBased/>
  <w15:docId w15:val="{15D78FDC-B0FE-4A65-B7A6-A2D1C7A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53E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E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FF3666A.dotm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Costaperaria</dc:creator>
  <cp:keywords/>
  <dc:description/>
  <cp:lastModifiedBy>Lara Costaperaria</cp:lastModifiedBy>
  <cp:revision>4</cp:revision>
  <dcterms:created xsi:type="dcterms:W3CDTF">2020-05-18T06:27:00Z</dcterms:created>
  <dcterms:modified xsi:type="dcterms:W3CDTF">2020-05-18T06:40:00Z</dcterms:modified>
</cp:coreProperties>
</file>